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0000002" w14:textId="4427B923" w:rsidR="00BB64EE" w:rsidRPr="009E0783" w:rsidRDefault="009E0783" w:rsidP="009E0783">
      <w:pPr>
        <w:pStyle w:val="Heading1"/>
        <w:rPr>
          <w:i/>
          <w:iCs/>
          <w:sz w:val="24"/>
          <w:szCs w:val="24"/>
        </w:rPr>
      </w:pPr>
      <w:r>
        <w:t>Keeping You Connected: Print, Paper and Digital Technology, #</w:t>
      </w:r>
      <w:proofErr w:type="spellStart"/>
      <w:r>
        <w:t>WeAreInThisTogether</w:t>
      </w:r>
      <w:proofErr w:type="spellEnd"/>
    </w:p>
    <w:p w14:paraId="2CCCD802" w14:textId="77777777" w:rsidR="009E0783" w:rsidRPr="009E0783" w:rsidRDefault="009E0783" w:rsidP="009E0783">
      <w:pPr>
        <w:shd w:val="clear" w:color="auto" w:fill="FFFFFF"/>
        <w:spacing w:line="240" w:lineRule="auto"/>
        <w:rPr>
          <w:i/>
          <w:iCs/>
          <w:color w:val="2F5496"/>
          <w:sz w:val="24"/>
          <w:szCs w:val="24"/>
        </w:rPr>
      </w:pPr>
      <w:r w:rsidRPr="009E0783">
        <w:rPr>
          <w:i/>
          <w:iCs/>
          <w:color w:val="2F5496"/>
          <w:sz w:val="24"/>
          <w:szCs w:val="24"/>
        </w:rPr>
        <w:t xml:space="preserve">Jonathan Malone-McGrew, Senior Director, Engagement - </w:t>
      </w:r>
      <w:proofErr w:type="spellStart"/>
      <w:r w:rsidRPr="009E0783">
        <w:rPr>
          <w:i/>
          <w:iCs/>
          <w:color w:val="2F5496"/>
          <w:sz w:val="24"/>
          <w:szCs w:val="24"/>
        </w:rPr>
        <w:t>Solimar</w:t>
      </w:r>
      <w:proofErr w:type="spellEnd"/>
      <w:r w:rsidRPr="009E0783">
        <w:rPr>
          <w:i/>
          <w:iCs/>
          <w:color w:val="2F5496"/>
          <w:sz w:val="24"/>
          <w:szCs w:val="24"/>
        </w:rPr>
        <w:t xml:space="preserve"> Systems, Inc.</w:t>
      </w:r>
    </w:p>
    <w:p w14:paraId="2D54E473" w14:textId="77777777" w:rsidR="009E0783" w:rsidRDefault="009E0783"/>
    <w:p w14:paraId="00000003" w14:textId="77777777" w:rsidR="00BB64EE" w:rsidRDefault="009E0783">
      <w:r>
        <w:t xml:space="preserve">It should be safe to say at this point that 2020 isn’t exactly what any of us expected; the challenges of COVID-19 have had a quick and widespread impact on the world. From countries big to small, people, their families, businesses and, generally, our way </w:t>
      </w:r>
      <w:r>
        <w:t>of life has been upended. With many urban centers asking or ordering people to self-isolate in their residences, it is a good reminder of the importance of critical communications: paper, print, and mail. But also, it’s a reminder that digital technologies</w:t>
      </w:r>
      <w:r>
        <w:t xml:space="preserve"> are helping keep the flow of commerce moving forward. </w:t>
      </w:r>
    </w:p>
    <w:p w14:paraId="00000004" w14:textId="77777777" w:rsidR="00BB64EE" w:rsidRDefault="009E0783">
      <w:r>
        <w:t>History has proven, though, that out of great adversity comes innovation and renewed passion to rebuild. While the global pandemic is impacting all of us in ways we never imagined, truly this is where</w:t>
      </w:r>
      <w:r>
        <w:t xml:space="preserve"> disaster recovery (DR) plans come into play. And from this, we likely will see new considerations for this type of event come into DR plans for businesses and personal life planning in the future. It reminds us of how important paper, print and the physic</w:t>
      </w:r>
      <w:r>
        <w:t xml:space="preserve">al movement of the mail still is today. It also highlights the importance of a coordinated digital communication plan so that what is communicated is relevant and, most importantly, accurate. </w:t>
      </w:r>
    </w:p>
    <w:p w14:paraId="00000005" w14:textId="77777777" w:rsidR="00BB64EE" w:rsidRDefault="009E0783">
      <w:r>
        <w:t>Let’s try to look at some ways we can take this new world situa</w:t>
      </w:r>
      <w:r>
        <w:t xml:space="preserve">tion and improve our businesses in the print, mail and digital communications industries. As we </w:t>
      </w:r>
      <w:proofErr w:type="gramStart"/>
      <w:r>
        <w:t>take a look</w:t>
      </w:r>
      <w:proofErr w:type="gramEnd"/>
      <w:r>
        <w:t xml:space="preserve">, here are some interesting facts about the adoption of smartphones and the internet globally and in the U.S. where our </w:t>
      </w:r>
      <w:proofErr w:type="spellStart"/>
      <w:r>
        <w:t>Solimar</w:t>
      </w:r>
      <w:proofErr w:type="spellEnd"/>
      <w:r>
        <w:t xml:space="preserve"> Systems’ Headquarters</w:t>
      </w:r>
      <w:r>
        <w:t xml:space="preserve"> are located:</w:t>
      </w:r>
    </w:p>
    <w:p w14:paraId="00000006" w14:textId="77777777" w:rsidR="00BB64EE" w:rsidRDefault="009E0783">
      <w:pPr>
        <w:numPr>
          <w:ilvl w:val="0"/>
          <w:numId w:val="1"/>
        </w:numPr>
        <w:pBdr>
          <w:top w:val="nil"/>
          <w:left w:val="nil"/>
          <w:bottom w:val="nil"/>
          <w:right w:val="nil"/>
          <w:between w:val="nil"/>
        </w:pBdr>
        <w:spacing w:after="0"/>
      </w:pPr>
      <w:r>
        <w:rPr>
          <w:color w:val="000000"/>
        </w:rPr>
        <w:t>World population today is estimated at 7.6 billion (</w:t>
      </w:r>
      <w:hyperlink r:id="rId5">
        <w:r>
          <w:rPr>
            <w:color w:val="0563C1"/>
            <w:u w:val="single"/>
          </w:rPr>
          <w:t>U.S. Census Bureau</w:t>
        </w:r>
      </w:hyperlink>
      <w:r>
        <w:rPr>
          <w:color w:val="000000"/>
        </w:rPr>
        <w:t>)</w:t>
      </w:r>
    </w:p>
    <w:p w14:paraId="00000007" w14:textId="77777777" w:rsidR="00BB64EE" w:rsidRDefault="009E0783">
      <w:pPr>
        <w:numPr>
          <w:ilvl w:val="0"/>
          <w:numId w:val="1"/>
        </w:numPr>
        <w:pBdr>
          <w:top w:val="nil"/>
          <w:left w:val="nil"/>
          <w:bottom w:val="nil"/>
          <w:right w:val="nil"/>
          <w:between w:val="nil"/>
        </w:pBdr>
        <w:spacing w:after="0"/>
      </w:pPr>
      <w:r>
        <w:rPr>
          <w:color w:val="000000"/>
        </w:rPr>
        <w:t>United States population is estimated at 327 million (</w:t>
      </w:r>
      <w:hyperlink r:id="rId6">
        <w:r>
          <w:rPr>
            <w:color w:val="0563C1"/>
            <w:u w:val="single"/>
          </w:rPr>
          <w:t xml:space="preserve">U.S. Census </w:t>
        </w:r>
        <w:r>
          <w:rPr>
            <w:color w:val="0563C1"/>
            <w:u w:val="single"/>
          </w:rPr>
          <w:t>Bureau</w:t>
        </w:r>
      </w:hyperlink>
      <w:r>
        <w:rPr>
          <w:color w:val="000000"/>
        </w:rPr>
        <w:t>)</w:t>
      </w:r>
    </w:p>
    <w:p w14:paraId="00000008" w14:textId="77777777" w:rsidR="00BB64EE" w:rsidRDefault="009E0783">
      <w:pPr>
        <w:numPr>
          <w:ilvl w:val="0"/>
          <w:numId w:val="1"/>
        </w:numPr>
        <w:pBdr>
          <w:top w:val="nil"/>
          <w:left w:val="nil"/>
          <w:bottom w:val="nil"/>
          <w:right w:val="nil"/>
          <w:between w:val="nil"/>
        </w:pBdr>
        <w:spacing w:after="0"/>
      </w:pPr>
      <w:r>
        <w:rPr>
          <w:color w:val="000000"/>
        </w:rPr>
        <w:t>Smartphone users globally are estimated at 3.5 billion (</w:t>
      </w:r>
      <w:hyperlink r:id="rId7">
        <w:r>
          <w:rPr>
            <w:color w:val="0563C1"/>
            <w:u w:val="single"/>
          </w:rPr>
          <w:t>Statista</w:t>
        </w:r>
      </w:hyperlink>
      <w:r>
        <w:rPr>
          <w:color w:val="000000"/>
        </w:rPr>
        <w:t>)</w:t>
      </w:r>
    </w:p>
    <w:p w14:paraId="00000009" w14:textId="77777777" w:rsidR="00BB64EE" w:rsidRDefault="009E0783">
      <w:pPr>
        <w:numPr>
          <w:ilvl w:val="0"/>
          <w:numId w:val="1"/>
        </w:numPr>
        <w:pBdr>
          <w:top w:val="nil"/>
          <w:left w:val="nil"/>
          <w:bottom w:val="nil"/>
          <w:right w:val="nil"/>
          <w:between w:val="nil"/>
        </w:pBdr>
        <w:spacing w:after="0"/>
      </w:pPr>
      <w:r>
        <w:rPr>
          <w:color w:val="000000"/>
        </w:rPr>
        <w:t>Sma</w:t>
      </w:r>
      <w:r>
        <w:rPr>
          <w:color w:val="000000"/>
        </w:rPr>
        <w:t>rtphone users in the U.S. are estimated at 81% or about 264 million (</w:t>
      </w:r>
      <w:hyperlink r:id="rId8">
        <w:r>
          <w:rPr>
            <w:color w:val="0563C1"/>
            <w:u w:val="single"/>
          </w:rPr>
          <w:t>Pew Research</w:t>
        </w:r>
      </w:hyperlink>
      <w:r>
        <w:rPr>
          <w:color w:val="000000"/>
        </w:rPr>
        <w:t>)</w:t>
      </w:r>
    </w:p>
    <w:p w14:paraId="0000000A" w14:textId="77777777" w:rsidR="00BB64EE" w:rsidRDefault="009E0783">
      <w:pPr>
        <w:numPr>
          <w:ilvl w:val="0"/>
          <w:numId w:val="1"/>
        </w:numPr>
        <w:pBdr>
          <w:top w:val="nil"/>
          <w:left w:val="nil"/>
          <w:bottom w:val="nil"/>
          <w:right w:val="nil"/>
          <w:between w:val="nil"/>
        </w:pBdr>
        <w:spacing w:after="0"/>
      </w:pPr>
      <w:r>
        <w:rPr>
          <w:color w:val="000000"/>
        </w:rPr>
        <w:t xml:space="preserve">Internet users globally </w:t>
      </w:r>
      <w:r>
        <w:t>are</w:t>
      </w:r>
      <w:r>
        <w:rPr>
          <w:color w:val="000000"/>
        </w:rPr>
        <w:t xml:space="preserve"> estimated at 4.13 billion (</w:t>
      </w:r>
      <w:hyperlink r:id="rId9">
        <w:r>
          <w:rPr>
            <w:color w:val="0563C1"/>
            <w:u w:val="single"/>
          </w:rPr>
          <w:t>Statista</w:t>
        </w:r>
      </w:hyperlink>
      <w:r>
        <w:rPr>
          <w:color w:val="000000"/>
        </w:rPr>
        <w:t>)</w:t>
      </w:r>
    </w:p>
    <w:p w14:paraId="0000000B" w14:textId="77777777" w:rsidR="00BB64EE" w:rsidRDefault="009E0783">
      <w:pPr>
        <w:numPr>
          <w:ilvl w:val="0"/>
          <w:numId w:val="1"/>
        </w:numPr>
        <w:pBdr>
          <w:top w:val="nil"/>
          <w:left w:val="nil"/>
          <w:bottom w:val="nil"/>
          <w:right w:val="nil"/>
          <w:between w:val="nil"/>
        </w:pBdr>
        <w:spacing w:after="0"/>
      </w:pPr>
      <w:r>
        <w:rPr>
          <w:color w:val="000000"/>
        </w:rPr>
        <w:t xml:space="preserve">Internet users in the U.S. </w:t>
      </w:r>
      <w:r>
        <w:t>are</w:t>
      </w:r>
      <w:r>
        <w:rPr>
          <w:color w:val="000000"/>
        </w:rPr>
        <w:t xml:space="preserve"> estimated at 293 million (</w:t>
      </w:r>
      <w:hyperlink r:id="rId10">
        <w:r>
          <w:rPr>
            <w:color w:val="0563C1"/>
            <w:u w:val="single"/>
          </w:rPr>
          <w:t>Statista</w:t>
        </w:r>
      </w:hyperlink>
      <w:r>
        <w:rPr>
          <w:color w:val="000000"/>
        </w:rPr>
        <w:t>)</w:t>
      </w:r>
    </w:p>
    <w:p w14:paraId="0000000C" w14:textId="77777777" w:rsidR="00BB64EE" w:rsidRDefault="009E0783">
      <w:pPr>
        <w:numPr>
          <w:ilvl w:val="0"/>
          <w:numId w:val="1"/>
        </w:numPr>
        <w:pBdr>
          <w:top w:val="nil"/>
          <w:left w:val="nil"/>
          <w:bottom w:val="nil"/>
          <w:right w:val="nil"/>
          <w:between w:val="nil"/>
        </w:pBdr>
        <w:spacing w:after="0"/>
      </w:pPr>
      <w:r>
        <w:rPr>
          <w:color w:val="000000"/>
        </w:rPr>
        <w:t>52% of internet traffic Globally is attributed to mobile d</w:t>
      </w:r>
      <w:r>
        <w:rPr>
          <w:color w:val="000000"/>
        </w:rPr>
        <w:t>evices (</w:t>
      </w:r>
      <w:hyperlink r:id="rId11">
        <w:r>
          <w:rPr>
            <w:color w:val="0563C1"/>
            <w:u w:val="single"/>
          </w:rPr>
          <w:t>Statista</w:t>
        </w:r>
      </w:hyperlink>
      <w:r>
        <w:rPr>
          <w:color w:val="000000"/>
        </w:rPr>
        <w:t>)</w:t>
      </w:r>
    </w:p>
    <w:p w14:paraId="0000000D" w14:textId="77777777" w:rsidR="00BB64EE" w:rsidRDefault="009E0783">
      <w:pPr>
        <w:numPr>
          <w:ilvl w:val="0"/>
          <w:numId w:val="1"/>
        </w:numPr>
        <w:pBdr>
          <w:top w:val="nil"/>
          <w:left w:val="nil"/>
          <w:bottom w:val="nil"/>
          <w:right w:val="nil"/>
          <w:between w:val="nil"/>
        </w:pBdr>
        <w:spacing w:after="0"/>
      </w:pPr>
      <w:r>
        <w:rPr>
          <w:color w:val="000000"/>
        </w:rPr>
        <w:t xml:space="preserve">48% of internet traffic in the </w:t>
      </w:r>
      <w:r>
        <w:rPr>
          <w:color w:val="000000"/>
        </w:rPr>
        <w:t>U.S. is from mobile devices (</w:t>
      </w:r>
      <w:hyperlink r:id="rId12">
        <w:r>
          <w:rPr>
            <w:color w:val="0563C1"/>
            <w:u w:val="single"/>
          </w:rPr>
          <w:t>Statista</w:t>
        </w:r>
      </w:hyperlink>
      <w:r>
        <w:rPr>
          <w:color w:val="000000"/>
        </w:rPr>
        <w:t>)</w:t>
      </w:r>
    </w:p>
    <w:p w14:paraId="0000000E" w14:textId="77777777" w:rsidR="00BB64EE" w:rsidRDefault="009E0783">
      <w:pPr>
        <w:numPr>
          <w:ilvl w:val="0"/>
          <w:numId w:val="1"/>
        </w:numPr>
        <w:pBdr>
          <w:top w:val="nil"/>
          <w:left w:val="nil"/>
          <w:bottom w:val="nil"/>
          <w:right w:val="nil"/>
          <w:between w:val="nil"/>
        </w:pBdr>
        <w:spacing w:after="0"/>
      </w:pPr>
      <w:r>
        <w:rPr>
          <w:color w:val="000000"/>
        </w:rPr>
        <w:t>71% of rur</w:t>
      </w:r>
      <w:r>
        <w:rPr>
          <w:color w:val="000000"/>
        </w:rPr>
        <w:t>al Americans have access to the internet from mobile devices (</w:t>
      </w:r>
      <w:hyperlink r:id="rId13">
        <w:r>
          <w:rPr>
            <w:color w:val="0563C1"/>
            <w:u w:val="single"/>
          </w:rPr>
          <w:t>Pew Research</w:t>
        </w:r>
      </w:hyperlink>
      <w:r>
        <w:rPr>
          <w:color w:val="000000"/>
        </w:rPr>
        <w:t>)</w:t>
      </w:r>
    </w:p>
    <w:p w14:paraId="0000000F" w14:textId="77777777" w:rsidR="00BB64EE" w:rsidRDefault="009E0783">
      <w:pPr>
        <w:numPr>
          <w:ilvl w:val="0"/>
          <w:numId w:val="1"/>
        </w:numPr>
        <w:pBdr>
          <w:top w:val="nil"/>
          <w:left w:val="nil"/>
          <w:bottom w:val="nil"/>
          <w:right w:val="nil"/>
          <w:between w:val="nil"/>
        </w:pBdr>
      </w:pPr>
      <w:bookmarkStart w:id="0" w:name="_gjdgxs" w:colFirst="0" w:colLast="0"/>
      <w:bookmarkEnd w:id="0"/>
      <w:r>
        <w:rPr>
          <w:color w:val="000000"/>
        </w:rPr>
        <w:t>63% of rural Americans have access to broadband internet (</w:t>
      </w:r>
      <w:hyperlink r:id="rId14">
        <w:r>
          <w:rPr>
            <w:color w:val="0563C1"/>
            <w:u w:val="single"/>
          </w:rPr>
          <w:t>Pew Research</w:t>
        </w:r>
      </w:hyperlink>
      <w:r>
        <w:rPr>
          <w:color w:val="000000"/>
        </w:rPr>
        <w:t>)</w:t>
      </w:r>
    </w:p>
    <w:p w14:paraId="00000010" w14:textId="77777777" w:rsidR="00BB64EE" w:rsidRDefault="009E0783">
      <w:pPr>
        <w:rPr>
          <w:b/>
        </w:rPr>
      </w:pPr>
      <w:r>
        <w:rPr>
          <w:b/>
        </w:rPr>
        <w:t xml:space="preserve">The data is interesting, but </w:t>
      </w:r>
      <w:r>
        <w:rPr>
          <w:b/>
          <w:i/>
        </w:rPr>
        <w:t>what does all of this mean</w:t>
      </w:r>
      <w:r>
        <w:rPr>
          <w:b/>
        </w:rPr>
        <w:t xml:space="preserve"> for</w:t>
      </w:r>
      <w:r>
        <w:rPr>
          <w:b/>
        </w:rPr>
        <w:t xml:space="preserve"> businesses that print, mail and digitally deliver communications locally, regionally or globally?</w:t>
      </w:r>
    </w:p>
    <w:p w14:paraId="00000011" w14:textId="77777777" w:rsidR="00BB64EE" w:rsidRDefault="009E0783">
      <w:r>
        <w:t xml:space="preserve">From our perspective at </w:t>
      </w:r>
      <w:proofErr w:type="spellStart"/>
      <w:r>
        <w:t>Solimar</w:t>
      </w:r>
      <w:proofErr w:type="spellEnd"/>
      <w:r>
        <w:t>, this is an opportunity to look at what you have had to do during these hard times and take some notes about your communicati</w:t>
      </w:r>
      <w:r>
        <w:t xml:space="preserve">on and production processes. You might be in </w:t>
      </w:r>
      <w:proofErr w:type="gramStart"/>
      <w:r>
        <w:t>a number of</w:t>
      </w:r>
      <w:proofErr w:type="gramEnd"/>
      <w:r>
        <w:t xml:space="preserve"> different industries such as financial, healthcare, government, education, non-profit, retail, food and beverage, etc. You might also produce a variety of things from correspondence letters, statemen</w:t>
      </w:r>
      <w:r>
        <w:t xml:space="preserve">ts, bills, explanation of benefits, marketing flyers, postcards, flexible or corrugated packaging, </w:t>
      </w:r>
      <w:r>
        <w:lastRenderedPageBreak/>
        <w:t xml:space="preserve">posters or even the labels that keep everything moving from a manufacturing, stocking and selling perspective. </w:t>
      </w:r>
    </w:p>
    <w:p w14:paraId="00000012" w14:textId="77777777" w:rsidR="00BB64EE" w:rsidRDefault="009E0783">
      <w:r>
        <w:rPr>
          <w:i/>
        </w:rPr>
        <w:t>Now is the time to take some notes!</w:t>
      </w:r>
      <w:r>
        <w:t xml:space="preserve"> As you trip over difficult processes in your print production environment related to either remote working, shifting production due to COVID-19 concerns or closures, disaster recovery and more…keep a journal of the chall</w:t>
      </w:r>
      <w:r>
        <w:t>enges.</w:t>
      </w:r>
    </w:p>
    <w:p w14:paraId="00000013" w14:textId="77777777" w:rsidR="00BB64EE" w:rsidRDefault="009E0783">
      <w:r>
        <w:rPr>
          <w:i/>
        </w:rPr>
        <w:t>Why?</w:t>
      </w:r>
      <w:r>
        <w:t xml:space="preserve"> Because…on the other side of this, and perhaps as you go, these are areas where you can leverage workflow technology to help improve your business continuity for the future. Look for areas where automation would have helped, remote reporting an</w:t>
      </w:r>
      <w:r>
        <w:t xml:space="preserve">d visibility would have saved headaches and time, and most of all, where you can squeeze cost out and drive a leaner running environment. </w:t>
      </w:r>
    </w:p>
    <w:p w14:paraId="00000014" w14:textId="77777777" w:rsidR="00BB64EE" w:rsidRDefault="009E0783">
      <w:r>
        <w:t>Plus, there are technologies that can help you bridge the physically printed and digitally delivered communications p</w:t>
      </w:r>
      <w:r>
        <w:t xml:space="preserve">ieces that can vastly change the perceived value of your brand, your client’s brand and provide the most relevant and impactful information. Technologies like </w:t>
      </w:r>
      <w:proofErr w:type="gramStart"/>
      <w:r>
        <w:t>dynamically-added</w:t>
      </w:r>
      <w:proofErr w:type="gramEnd"/>
      <w:r>
        <w:t xml:space="preserve"> and data-driven QR codes can launch web-based Augmented Reality (AR) that can b</w:t>
      </w:r>
      <w:r>
        <w:t>e variable by location and the known information of the recipient. Moreover, it can be updated on the fly…or in real-time to change the message as new details become available. In a COVID-19 situation, it means you could message important information, offe</w:t>
      </w:r>
      <w:r>
        <w:t xml:space="preserve">rs and directions to your recipients without having to change the printed piece. </w:t>
      </w:r>
      <w:r>
        <w:rPr>
          <w:b/>
        </w:rPr>
        <w:t>But</w:t>
      </w:r>
      <w:r>
        <w:t xml:space="preserve"> you would also have the power of print in their hands, which has been proven by all the Two Sides research to be of significant value to consumers. </w:t>
      </w:r>
    </w:p>
    <w:p w14:paraId="00000015" w14:textId="77777777" w:rsidR="00BB64EE" w:rsidRDefault="009E0783">
      <w:r>
        <w:t>While you are managing</w:t>
      </w:r>
      <w:r>
        <w:t xml:space="preserve"> during these hard times, know that </w:t>
      </w:r>
      <w:proofErr w:type="spellStart"/>
      <w:r>
        <w:t>Solimar</w:t>
      </w:r>
      <w:proofErr w:type="spellEnd"/>
      <w:r>
        <w:t xml:space="preserve"> is with you and #</w:t>
      </w:r>
      <w:proofErr w:type="spellStart"/>
      <w:r>
        <w:t>WeAreInThisTogether</w:t>
      </w:r>
      <w:proofErr w:type="spellEnd"/>
      <w:r>
        <w:t>. Here are some blog resources on our website that might be interesting to continue your reading experience:</w:t>
      </w:r>
    </w:p>
    <w:p w14:paraId="00000016" w14:textId="77777777" w:rsidR="00BB64EE" w:rsidRDefault="009E0783">
      <w:hyperlink r:id="rId15">
        <w:r>
          <w:rPr>
            <w:color w:val="0563C1"/>
            <w:u w:val="single"/>
          </w:rPr>
          <w:t>How Important is Print Shop Visibility for 2020 and Beyond?</w:t>
        </w:r>
      </w:hyperlink>
    </w:p>
    <w:p w14:paraId="00000017" w14:textId="77777777" w:rsidR="00BB64EE" w:rsidRDefault="009E0783">
      <w:hyperlink r:id="rId16">
        <w:r>
          <w:rPr>
            <w:color w:val="0563C1"/>
            <w:u w:val="single"/>
          </w:rPr>
          <w:t>Missing the Piece-Level Connection and the Hidden Costs Associated</w:t>
        </w:r>
      </w:hyperlink>
    </w:p>
    <w:p w14:paraId="00000018" w14:textId="77777777" w:rsidR="00BB64EE" w:rsidRDefault="009E0783">
      <w:hyperlink r:id="rId17">
        <w:r>
          <w:rPr>
            <w:color w:val="0563C1"/>
            <w:u w:val="single"/>
          </w:rPr>
          <w:t>PDF Will Never Be th</w:t>
        </w:r>
        <w:r>
          <w:rPr>
            <w:color w:val="0563C1"/>
            <w:u w:val="single"/>
          </w:rPr>
          <w:t>e Same and That Is a Good Thing</w:t>
        </w:r>
      </w:hyperlink>
    </w:p>
    <w:p w14:paraId="00000019" w14:textId="77777777" w:rsidR="00BB64EE" w:rsidRDefault="009E0783">
      <w:hyperlink r:id="rId18">
        <w:r>
          <w:rPr>
            <w:color w:val="0563C1"/>
            <w:u w:val="single"/>
          </w:rPr>
          <w:t>Are Your Print Shop’s Processes in a Desired State?</w:t>
        </w:r>
      </w:hyperlink>
      <w:r>
        <w:t xml:space="preserve"> </w:t>
      </w:r>
    </w:p>
    <w:p w14:paraId="0000001A" w14:textId="77777777" w:rsidR="00BB64EE" w:rsidRDefault="009E0783">
      <w:hyperlink r:id="rId19">
        <w:r>
          <w:rPr>
            <w:color w:val="0563C1"/>
            <w:u w:val="single"/>
          </w:rPr>
          <w:t>You Didn’t Get Your 2% Postal Discount Last Year…Did You?!?</w:t>
        </w:r>
      </w:hyperlink>
    </w:p>
    <w:p w14:paraId="0000001B" w14:textId="77777777" w:rsidR="00BB64EE" w:rsidRDefault="009E0783">
      <w:hyperlink r:id="rId20">
        <w:r>
          <w:rPr>
            <w:color w:val="0563C1"/>
            <w:u w:val="single"/>
          </w:rPr>
          <w:t>Don’t Get Handcuffed by Software Services in Your Print and Digital Workflow Environment</w:t>
        </w:r>
      </w:hyperlink>
    </w:p>
    <w:p w14:paraId="0000001C" w14:textId="77777777" w:rsidR="00BB64EE" w:rsidRDefault="00BB64EE"/>
    <w:p w14:paraId="0000001D" w14:textId="77777777" w:rsidR="00BB64EE" w:rsidRDefault="009E0783">
      <w:r>
        <w:t xml:space="preserve">Need help with your workflow or just have questions? We are listening. </w:t>
      </w:r>
      <w:hyperlink r:id="rId21">
        <w:r>
          <w:rPr>
            <w:color w:val="1155CC"/>
            <w:u w:val="single"/>
          </w:rPr>
          <w:t>Reach out to our team</w:t>
        </w:r>
      </w:hyperlink>
      <w:r>
        <w:t xml:space="preserve"> and be sure to see our </w:t>
      </w:r>
      <w:hyperlink r:id="rId22">
        <w:r>
          <w:rPr>
            <w:color w:val="1155CC"/>
            <w:u w:val="single"/>
          </w:rPr>
          <w:t>COVID-19 and Business Co</w:t>
        </w:r>
        <w:r>
          <w:rPr>
            <w:color w:val="1155CC"/>
            <w:u w:val="single"/>
          </w:rPr>
          <w:t>ntinuity Statement</w:t>
        </w:r>
      </w:hyperlink>
      <w:r>
        <w:t xml:space="preserve"> to understand how we are reacting to this worldwide situation. </w:t>
      </w:r>
    </w:p>
    <w:sectPr w:rsidR="00BB64EE">
      <w:pgSz w:w="12240" w:h="15840"/>
      <w:pgMar w:top="1440" w:right="1440" w:bottom="1440" w:left="1440" w:header="720" w:footer="720" w:gutter="0"/>
      <w:pgNumType w:start="1"/>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Noto Sans Symbols">
    <w:altName w:val="Calibri"/>
    <w:charset w:val="00"/>
    <w:family w:val="auto"/>
    <w:pitch w:val="default"/>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E0B6D6F"/>
    <w:multiLevelType w:val="multilevel"/>
    <w:tmpl w:val="0CC66632"/>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EE"/>
    <w:rsid w:val="004F5C83"/>
    <w:rsid w:val="009E0783"/>
    <w:rsid w:val="00BB64E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A516D1"/>
  <w15:docId w15:val="{FBA46EDB-249C-473A-B663-8FEFDEE81A9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Calibri"/>
        <w:sz w:val="22"/>
        <w:szCs w:val="22"/>
        <w:lang w:val="en-US"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240" w:after="0"/>
      <w:outlineLvl w:val="0"/>
    </w:pPr>
    <w:rPr>
      <w:color w:val="2F5496"/>
      <w:sz w:val="32"/>
      <w:szCs w:val="32"/>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sz w:val="24"/>
      <w:szCs w:val="24"/>
    </w:rPr>
  </w:style>
  <w:style w:type="paragraph" w:styleId="Heading5">
    <w:name w:val="heading 5"/>
    <w:basedOn w:val="Normal"/>
    <w:next w:val="Normal"/>
    <w:uiPriority w:val="9"/>
    <w:semiHidden/>
    <w:unhideWhenUsed/>
    <w:qFormat/>
    <w:pPr>
      <w:keepNext/>
      <w:keepLines/>
      <w:spacing w:before="220" w:after="40"/>
      <w:outlineLvl w:val="4"/>
    </w:pPr>
    <w:rPr>
      <w:b/>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hyperlink" Target="https://www.pewresearch.org/internet/fact-sheet/mobile/" TargetMode="External"/><Relationship Id="rId13" Type="http://schemas.openxmlformats.org/officeDocument/2006/relationships/hyperlink" Target="https://www.pewresearch.org/fact-tank/2019/05/31/digital-gap-between-rural-and-nonrural-america-persists/" TargetMode="External"/><Relationship Id="rId18" Type="http://schemas.openxmlformats.org/officeDocument/2006/relationships/hyperlink" Target="https://www.solimarsystems.com/blog/is-your-print-shops-processes-in-a-desired-state/" TargetMode="External"/><Relationship Id="rId3" Type="http://schemas.openxmlformats.org/officeDocument/2006/relationships/settings" Target="settings.xml"/><Relationship Id="rId21" Type="http://schemas.openxmlformats.org/officeDocument/2006/relationships/hyperlink" Target="https://www.solimarsystems.com/contact-us/" TargetMode="External"/><Relationship Id="rId7" Type="http://schemas.openxmlformats.org/officeDocument/2006/relationships/hyperlink" Target="https://www.statista.com/statistics/330695/number-of-smartphone-users-worldwide/https:/www.statista.com/statistics/330695/number-of-smartphone-users-worldwide/" TargetMode="External"/><Relationship Id="rId12" Type="http://schemas.openxmlformats.org/officeDocument/2006/relationships/hyperlink" Target="https://www.statista.com/statistics/306528/share-of-mobile-internet-traffic-in-global-regions/https:/www.statista.com/statistics/306528/share-of-mobile-internet-traffic-in-global-regions/" TargetMode="External"/><Relationship Id="rId17" Type="http://schemas.openxmlformats.org/officeDocument/2006/relationships/hyperlink" Target="https://www.solimarsystems.com/blog/pdf-will-never-be-the-same-and-that-is-a-good-thing/" TargetMode="External"/><Relationship Id="rId2" Type="http://schemas.openxmlformats.org/officeDocument/2006/relationships/styles" Target="styles.xml"/><Relationship Id="rId16" Type="http://schemas.openxmlformats.org/officeDocument/2006/relationships/hyperlink" Target="https://www.solimarsystems.com/blog/how-important-is-print-shop-visibility-for-2020-and-beyond/https:/www.solimarsystems.com/blog/how-important-is-print-shop-visibility-for-2020-and-beyond/" TargetMode="External"/><Relationship Id="rId20" Type="http://schemas.openxmlformats.org/officeDocument/2006/relationships/hyperlink" Target="https://www.solimarsystems.com/blog/dont-get-handcuffed-by-software-services-in-your-print-and-digital-workflow-environment/" TargetMode="External"/><Relationship Id="rId1" Type="http://schemas.openxmlformats.org/officeDocument/2006/relationships/numbering" Target="numbering.xml"/><Relationship Id="rId6" Type="http://schemas.openxmlformats.org/officeDocument/2006/relationships/hyperlink" Target="https://www.census.gov/popclock/" TargetMode="External"/><Relationship Id="rId11" Type="http://schemas.openxmlformats.org/officeDocument/2006/relationships/hyperlink" Target="https://www.statista.com/statistics/306528/share-of-mobile-internet-traffic-in-global-regions/https:/www.statista.com/statistics/306528/share-of-mobile-internet-traffic-in-global-regions/" TargetMode="External"/><Relationship Id="rId24" Type="http://schemas.openxmlformats.org/officeDocument/2006/relationships/theme" Target="theme/theme1.xml"/><Relationship Id="rId5" Type="http://schemas.openxmlformats.org/officeDocument/2006/relationships/hyperlink" Target="https://www.census.gov/popclock/" TargetMode="External"/><Relationship Id="rId15" Type="http://schemas.openxmlformats.org/officeDocument/2006/relationships/hyperlink" Target="https://www.solimarsystems.com/blog/how-important-is-print-shop-visibility-for-2020-and-beyond/" TargetMode="External"/><Relationship Id="rId23" Type="http://schemas.openxmlformats.org/officeDocument/2006/relationships/fontTable" Target="fontTable.xml"/><Relationship Id="rId10" Type="http://schemas.openxmlformats.org/officeDocument/2006/relationships/hyperlink" Target="https://www.statista.com/topics/1145/internet-usage-worldwide/" TargetMode="External"/><Relationship Id="rId19" Type="http://schemas.openxmlformats.org/officeDocument/2006/relationships/hyperlink" Target="https://www.solimarsystems.com/blog/you-didnt-get-your-2-percent-postal-discount-last-year-did-you/" TargetMode="External"/><Relationship Id="rId4" Type="http://schemas.openxmlformats.org/officeDocument/2006/relationships/webSettings" Target="webSettings.xml"/><Relationship Id="rId9" Type="http://schemas.openxmlformats.org/officeDocument/2006/relationships/hyperlink" Target="https://www.statista.com/topics/1145/internet-usage-worldwide/" TargetMode="External"/><Relationship Id="rId14" Type="http://schemas.openxmlformats.org/officeDocument/2006/relationships/hyperlink" Target="https://www.pewresearch.org/fact-tank/2019/05/31/digital-gap-between-rural-and-nonrural-america-persists/" TargetMode="External"/><Relationship Id="rId22" Type="http://schemas.openxmlformats.org/officeDocument/2006/relationships/hyperlink" Target="https://www.solimarsystems.com/solimar-systems-business-continuity-assurance-during-covid-19-global-impac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2</Pages>
  <Words>1153</Words>
  <Characters>6576</Characters>
  <Application>Microsoft Office Word</Application>
  <DocSecurity>0</DocSecurity>
  <Lines>54</Lines>
  <Paragraphs>15</Paragraphs>
  <ScaleCrop>false</ScaleCrop>
  <Company/>
  <LinksUpToDate>false</LinksUpToDate>
  <CharactersWithSpaces>7714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Nicole O'Donoghue</dc:creator>
  <cp:lastModifiedBy>Nicole O'Donoghue</cp:lastModifiedBy>
  <cp:revision>3</cp:revision>
  <dcterms:created xsi:type="dcterms:W3CDTF">2020-04-07T16:13:00Z</dcterms:created>
  <dcterms:modified xsi:type="dcterms:W3CDTF">2020-04-07T16:14:00Z</dcterms:modified>
</cp:coreProperties>
</file>